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HORN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Snailwell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Thomas(q.v.).    </w:t>
      </w:r>
      <w:r>
        <w:rPr>
          <w:rFonts w:ascii="Times New Roman" w:hAnsi="Times New Roman" w:cs="Times New Roman"/>
          <w:sz w:val="24"/>
          <w:szCs w:val="24"/>
        </w:rPr>
        <w:t>(“Sudbury Wills” vol.1 pp.69-70)</w:t>
      </w: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Nov.1440</w:t>
      </w:r>
      <w:r>
        <w:rPr>
          <w:rFonts w:ascii="Times New Roman" w:hAnsi="Times New Roman" w:cs="Times New Roman"/>
          <w:sz w:val="24"/>
          <w:szCs w:val="24"/>
        </w:rPr>
        <w:tab/>
        <w:t>Thomas appointed her supervisor of his Will, in which he bequeathed her</w:t>
      </w: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residue of his estate.    (ibid.)</w:t>
      </w: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292F" w:rsidRPr="00E1292F" w:rsidRDefault="00E129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E1292F" w:rsidRPr="00E129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92F" w:rsidRDefault="00E1292F" w:rsidP="00E71FC3">
      <w:pPr>
        <w:spacing w:after="0" w:line="240" w:lineRule="auto"/>
      </w:pPr>
      <w:r>
        <w:separator/>
      </w:r>
    </w:p>
  </w:endnote>
  <w:endnote w:type="continuationSeparator" w:id="0">
    <w:p w:rsidR="00E1292F" w:rsidRDefault="00E129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92F" w:rsidRDefault="00E1292F" w:rsidP="00E71FC3">
      <w:pPr>
        <w:spacing w:after="0" w:line="240" w:lineRule="auto"/>
      </w:pPr>
      <w:r>
        <w:separator/>
      </w:r>
    </w:p>
  </w:footnote>
  <w:footnote w:type="continuationSeparator" w:id="0">
    <w:p w:rsidR="00E1292F" w:rsidRDefault="00E129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92F"/>
    <w:rsid w:val="00AB52E8"/>
    <w:rsid w:val="00B16D3F"/>
    <w:rsid w:val="00E129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64036"/>
  <w15:chartTrackingRefBased/>
  <w15:docId w15:val="{18F9F44F-1618-4F63-8D1A-F20139DA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2016-02-29T22:28:00Z</dcterms:created>
  <dcterms:modified xsi:type="dcterms:W3CDTF">2016-02-29T22:30:00Z</dcterms:modified>
</cp:coreProperties>
</file>